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w:t>
      </w:r>
      <w:r w:rsidR="005C3EE4">
        <w:rPr>
          <w:rFonts w:cs="Arial"/>
          <w:sz w:val="20"/>
        </w:rPr>
        <w:t>bis-</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A731A9" w:rsidRPr="00A731A9">
        <w:t>R4-2107313</w:t>
      </w:r>
    </w:p>
    <w:p w:rsidR="00675C27" w:rsidRPr="00444A16" w:rsidRDefault="005C3EE4" w:rsidP="00F71A33">
      <w:pPr>
        <w:pStyle w:val="a1"/>
        <w:rPr>
          <w:rFonts w:eastAsia="宋体"/>
          <w:lang w:eastAsia="zh-CN"/>
        </w:rPr>
      </w:pPr>
      <w:r w:rsidRPr="005C3EE4">
        <w:rPr>
          <w:rFonts w:eastAsia="宋体"/>
          <w:lang w:eastAsia="zh-CN"/>
        </w:rPr>
        <w:t>Electronic Meeting, Apr. 12-20,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A731A9">
        <w:rPr>
          <w:rFonts w:ascii="Arial" w:hAnsi="Arial" w:cs="Arial" w:hint="eastAsia"/>
          <w:sz w:val="22"/>
        </w:rPr>
        <w:t xml:space="preserve">, </w:t>
      </w:r>
      <w:proofErr w:type="spellStart"/>
      <w:r w:rsidR="00A731A9">
        <w:rPr>
          <w:rFonts w:ascii="Arial" w:hAnsi="Arial" w:cs="Arial" w:hint="eastAsia"/>
          <w:sz w:val="22"/>
        </w:rPr>
        <w:t>Hi</w:t>
      </w:r>
      <w:r w:rsidR="00A731A9">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B5D26" w:rsidRPr="009B5D26">
        <w:rPr>
          <w:rFonts w:ascii="Arial" w:hAnsi="Arial" w:cs="Arial"/>
          <w:sz w:val="22"/>
        </w:rPr>
        <w:t xml:space="preserve">On RMR </w:t>
      </w:r>
      <w:r w:rsidR="00C27035">
        <w:rPr>
          <w:rFonts w:ascii="Arial" w:hAnsi="Arial" w:cs="Arial"/>
          <w:sz w:val="22"/>
        </w:rPr>
        <w:t>1</w:t>
      </w:r>
      <w:r w:rsidR="009B5D26" w:rsidRPr="009B5D26">
        <w:rPr>
          <w:rFonts w:ascii="Arial" w:hAnsi="Arial" w:cs="Arial"/>
          <w:sz w:val="22"/>
        </w:rPr>
        <w:t>900MHz band</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731A9">
        <w:rPr>
          <w:rFonts w:ascii="Arial" w:hAnsi="Arial" w:cs="Arial"/>
          <w:sz w:val="22"/>
        </w:rPr>
        <w:t>7.44.1</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8624E7" w:rsidRDefault="003C6882" w:rsidP="00506149">
      <w:r>
        <w:t>A new WI on</w:t>
      </w:r>
      <w:r w:rsidRPr="003C6882">
        <w:t xml:space="preserve"> introduction of 1900 MHz spectrum to 5G NR applicable for Rail Mobile Radio</w:t>
      </w:r>
      <w:r>
        <w:t xml:space="preserve"> was approved in RAN#91e meeting [1]. </w:t>
      </w:r>
      <w:r w:rsidR="008624E7">
        <w:t xml:space="preserve"> </w:t>
      </w:r>
    </w:p>
    <w:p w:rsidR="009A089A" w:rsidRDefault="005369EE" w:rsidP="009A089A">
      <w:r>
        <w:t xml:space="preserve">This contribution provides our consideration on </w:t>
      </w:r>
      <w:r w:rsidR="00537EC6" w:rsidRPr="00537EC6">
        <w:t>RMR 1900MHz band</w:t>
      </w:r>
      <w:r>
        <w:t xml:space="preserve">. </w:t>
      </w:r>
    </w:p>
    <w:p w:rsidR="00062E8E" w:rsidRDefault="00062E8E" w:rsidP="00F23E96">
      <w:pPr>
        <w:pStyle w:val="Heading1"/>
        <w:spacing w:after="240"/>
        <w:rPr>
          <w:rFonts w:eastAsia="宋体"/>
          <w:lang w:eastAsia="zh-CN"/>
        </w:rPr>
      </w:pPr>
      <w:r>
        <w:rPr>
          <w:rFonts w:eastAsia="宋体" w:hint="eastAsia"/>
          <w:lang w:eastAsia="zh-CN"/>
        </w:rPr>
        <w:t>Discussion</w:t>
      </w:r>
    </w:p>
    <w:p w:rsidR="00B029C7" w:rsidRDefault="003C6882" w:rsidP="005369EE">
      <w:pPr>
        <w:pStyle w:val="Heading2"/>
        <w:spacing w:after="240"/>
      </w:pPr>
      <w:r>
        <w:t>WI objective</w:t>
      </w:r>
      <w:r w:rsidR="005369EE">
        <w:t>s</w:t>
      </w:r>
    </w:p>
    <w:p w:rsidR="003C6882" w:rsidRDefault="00537EC6" w:rsidP="005369EE">
      <w:pPr>
        <w:rPr>
          <w:lang w:eastAsia="en-US"/>
        </w:rPr>
      </w:pPr>
      <w:r>
        <w:rPr>
          <w:lang w:eastAsia="en-US"/>
        </w:rPr>
        <w:t xml:space="preserve">The objectives of the WI are copied as below for reference. </w:t>
      </w:r>
    </w:p>
    <w:p w:rsidR="003C6882" w:rsidRPr="003C6882" w:rsidRDefault="003C6882" w:rsidP="003C6882">
      <w:pPr>
        <w:numPr>
          <w:ilvl w:val="0"/>
          <w:numId w:val="43"/>
        </w:numPr>
        <w:spacing w:after="0"/>
        <w:rPr>
          <w:bCs/>
          <w:i/>
          <w:lang w:eastAsia="ja-JP"/>
        </w:rPr>
      </w:pPr>
      <w:r w:rsidRPr="003C6882">
        <w:rPr>
          <w:bCs/>
          <w:i/>
          <w:lang w:eastAsia="ja-JP"/>
        </w:rPr>
        <w:t>Specify a new NR TDD operating band to include band numbering and core requirements to operate in Europe by considering that:</w:t>
      </w:r>
    </w:p>
    <w:p w:rsidR="003C6882" w:rsidRPr="003C6882" w:rsidRDefault="003C6882" w:rsidP="003C6882">
      <w:pPr>
        <w:numPr>
          <w:ilvl w:val="1"/>
          <w:numId w:val="43"/>
        </w:numPr>
        <w:spacing w:after="0"/>
        <w:rPr>
          <w:bCs/>
          <w:i/>
          <w:lang w:eastAsia="ja-JP"/>
        </w:rPr>
      </w:pPr>
      <w:r w:rsidRPr="003C6882">
        <w:rPr>
          <w:bCs/>
          <w:i/>
          <w:lang w:eastAsia="ja-JP"/>
        </w:rPr>
        <w:t>UE transmit: 1900 - 1910 MHz, BS transmit: 1900 MHz – 1910 MHz;</w:t>
      </w:r>
    </w:p>
    <w:p w:rsidR="003C6882" w:rsidRPr="003C6882" w:rsidRDefault="003C6882" w:rsidP="003C6882">
      <w:pPr>
        <w:numPr>
          <w:ilvl w:val="1"/>
          <w:numId w:val="43"/>
        </w:numPr>
        <w:spacing w:after="0"/>
        <w:rPr>
          <w:bCs/>
          <w:i/>
          <w:lang w:eastAsia="ja-JP"/>
        </w:rPr>
      </w:pPr>
      <w:r w:rsidRPr="003C6882">
        <w:rPr>
          <w:bCs/>
          <w:i/>
          <w:lang w:eastAsia="ja-JP"/>
        </w:rPr>
        <w:t>The use of UE power class 3 (23dBm);</w:t>
      </w:r>
    </w:p>
    <w:p w:rsidR="003C6882" w:rsidRPr="003C6882" w:rsidRDefault="003C6882" w:rsidP="003C6882">
      <w:pPr>
        <w:numPr>
          <w:ilvl w:val="1"/>
          <w:numId w:val="43"/>
        </w:numPr>
        <w:spacing w:after="0"/>
        <w:rPr>
          <w:bCs/>
          <w:i/>
          <w:lang w:eastAsia="ja-JP"/>
        </w:rPr>
      </w:pPr>
      <w:r w:rsidRPr="003C6882">
        <w:rPr>
          <w:bCs/>
          <w:i/>
          <w:lang w:eastAsia="ja-JP"/>
        </w:rPr>
        <w:t>To support 5 MHz and 10 MHz channel bandwidth;</w:t>
      </w:r>
    </w:p>
    <w:p w:rsidR="003C6882" w:rsidRPr="003C6882" w:rsidRDefault="003C6882" w:rsidP="003C6882">
      <w:pPr>
        <w:numPr>
          <w:ilvl w:val="1"/>
          <w:numId w:val="43"/>
        </w:numPr>
        <w:spacing w:after="0"/>
        <w:rPr>
          <w:bCs/>
          <w:i/>
          <w:lang w:eastAsia="ja-JP"/>
        </w:rPr>
      </w:pPr>
      <w:r w:rsidRPr="003C6882">
        <w:rPr>
          <w:bCs/>
          <w:i/>
          <w:lang w:eastAsia="ja-JP"/>
        </w:rPr>
        <w:t>To support 15kHz and 30kHz SCS;</w:t>
      </w:r>
    </w:p>
    <w:p w:rsidR="003C6882" w:rsidRPr="003C6882" w:rsidRDefault="003C6882" w:rsidP="003C6882">
      <w:pPr>
        <w:numPr>
          <w:ilvl w:val="1"/>
          <w:numId w:val="43"/>
        </w:numPr>
        <w:spacing w:after="0"/>
        <w:rPr>
          <w:bCs/>
          <w:i/>
          <w:lang w:eastAsia="ja-JP"/>
        </w:rPr>
      </w:pPr>
      <w:r w:rsidRPr="003C6882">
        <w:rPr>
          <w:bCs/>
          <w:i/>
          <w:lang w:eastAsia="ja-JP"/>
        </w:rPr>
        <w:t>To support Wide Area Base Stations;</w:t>
      </w:r>
    </w:p>
    <w:p w:rsidR="003C6882" w:rsidRPr="003C6882" w:rsidRDefault="003C6882" w:rsidP="003C6882">
      <w:pPr>
        <w:numPr>
          <w:ilvl w:val="1"/>
          <w:numId w:val="43"/>
        </w:numPr>
        <w:spacing w:after="0"/>
        <w:rPr>
          <w:bCs/>
          <w:i/>
          <w:lang w:eastAsia="ja-JP"/>
        </w:rPr>
      </w:pPr>
      <w:r w:rsidRPr="003C6882">
        <w:rPr>
          <w:bCs/>
          <w:i/>
          <w:lang w:eastAsia="ja-JP"/>
        </w:rPr>
        <w:t>To support only non-AAS Base Stations;</w:t>
      </w:r>
    </w:p>
    <w:p w:rsidR="003C6882" w:rsidRPr="003C6882" w:rsidRDefault="003C6882" w:rsidP="003C6882">
      <w:pPr>
        <w:numPr>
          <w:ilvl w:val="1"/>
          <w:numId w:val="43"/>
        </w:numPr>
        <w:spacing w:after="0"/>
        <w:rPr>
          <w:bCs/>
          <w:i/>
          <w:lang w:eastAsia="ja-JP"/>
        </w:rPr>
      </w:pPr>
      <w:r w:rsidRPr="003C6882">
        <w:rPr>
          <w:i/>
        </w:rPr>
        <w:t>The Block-Edge-Mask (BEM) is developed on the basis that detailed coordination and cooperation agreements would not be required to be in place prior to network deployment.</w:t>
      </w:r>
    </w:p>
    <w:p w:rsidR="004F3C28" w:rsidRDefault="004F3C28" w:rsidP="005369EE">
      <w:pPr>
        <w:rPr>
          <w:lang w:eastAsia="en-US"/>
        </w:rPr>
      </w:pPr>
    </w:p>
    <w:p w:rsidR="004F3C28" w:rsidRDefault="004F3C28" w:rsidP="005369EE">
      <w:r>
        <w:rPr>
          <w:lang w:eastAsia="en-US"/>
        </w:rPr>
        <w:t>During the RAN discussion, operators commented that n</w:t>
      </w:r>
      <w:r>
        <w:t>egative impacts to existing deployed equipment in bands (n)8 and (n)1 shall be avoided</w:t>
      </w:r>
      <w:r w:rsidR="001E7B9B">
        <w:t xml:space="preserve">. Since the RMR bands are new operating bands, and (n)8 and (n)1 are legacy bands, which have incumbent services in the network, therefore, we agree with that the deployed network should not be affected. </w:t>
      </w:r>
    </w:p>
    <w:p w:rsidR="00C51158" w:rsidRDefault="00C51158" w:rsidP="00C51158">
      <w:pPr>
        <w:rPr>
          <w:b/>
          <w:i/>
          <w:lang w:val="en-US" w:eastAsia="en-US"/>
        </w:rPr>
      </w:pPr>
      <w:r w:rsidRPr="00583691">
        <w:rPr>
          <w:b/>
          <w:i/>
          <w:lang w:val="en-US" w:eastAsia="en-US"/>
        </w:rPr>
        <w:t xml:space="preserve">Observation </w:t>
      </w:r>
      <w:r>
        <w:rPr>
          <w:b/>
          <w:i/>
          <w:lang w:val="en-US" w:eastAsia="en-US"/>
        </w:rPr>
        <w:t>1</w:t>
      </w:r>
      <w:r w:rsidRPr="00583691">
        <w:rPr>
          <w:b/>
          <w:i/>
          <w:lang w:val="en-US" w:eastAsia="en-US"/>
        </w:rPr>
        <w:t>:</w:t>
      </w:r>
      <w:r>
        <w:rPr>
          <w:b/>
          <w:i/>
          <w:lang w:val="en-US" w:eastAsia="en-US"/>
        </w:rPr>
        <w:t xml:space="preserve"> Some description in the WID are deployment related, it should be clear that the newly introduced band shall not have impact to the incumbent deployed network. </w:t>
      </w:r>
    </w:p>
    <w:p w:rsidR="003C6882" w:rsidRDefault="003C6882" w:rsidP="003C6882">
      <w:pPr>
        <w:pStyle w:val="Heading2"/>
        <w:spacing w:after="240"/>
      </w:pPr>
      <w:r>
        <w:t>Some issues to be discussed</w:t>
      </w:r>
    </w:p>
    <w:p w:rsidR="005369EE" w:rsidRDefault="00626CE8" w:rsidP="005369EE">
      <w:pPr>
        <w:rPr>
          <w:lang w:val="en-US" w:eastAsia="en-US"/>
        </w:rPr>
      </w:pPr>
      <w:r>
        <w:rPr>
          <w:lang w:val="en-US" w:eastAsia="en-US"/>
        </w:rPr>
        <w:t>The adjacent bands around RMR 1900MHz are illustrated in Figure 1.</w:t>
      </w:r>
    </w:p>
    <w:p w:rsidR="00576D74" w:rsidRDefault="00626CE8" w:rsidP="00576D74">
      <w:pPr>
        <w:jc w:val="center"/>
        <w:rPr>
          <w:lang w:val="en-US" w:eastAsia="en-US"/>
        </w:rPr>
      </w:pPr>
      <w:r>
        <w:rPr>
          <w:noProof/>
          <w:lang w:val="en-US"/>
        </w:rPr>
        <w:drawing>
          <wp:inline distT="0" distB="0" distL="0" distR="0" wp14:anchorId="0620316E">
            <wp:extent cx="4293870" cy="467487"/>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76199" cy="476450"/>
                    </a:xfrm>
                    <a:prstGeom prst="rect">
                      <a:avLst/>
                    </a:prstGeom>
                    <a:noFill/>
                  </pic:spPr>
                </pic:pic>
              </a:graphicData>
            </a:graphic>
          </wp:inline>
        </w:drawing>
      </w:r>
    </w:p>
    <w:p w:rsidR="00626CE8" w:rsidRPr="00626CE8" w:rsidRDefault="00626CE8" w:rsidP="00576D74">
      <w:pPr>
        <w:jc w:val="center"/>
        <w:rPr>
          <w:rFonts w:ascii="Arial" w:hAnsi="Arial" w:cs="Arial"/>
          <w:b/>
          <w:lang w:val="en-US" w:eastAsia="en-US"/>
        </w:rPr>
      </w:pPr>
      <w:r w:rsidRPr="00626CE8">
        <w:rPr>
          <w:rFonts w:ascii="Arial" w:hAnsi="Arial" w:cs="Arial"/>
          <w:b/>
          <w:lang w:val="en-US" w:eastAsia="en-US"/>
        </w:rPr>
        <w:t>Figure 1: Operating bands around RMR 1900MHz</w:t>
      </w:r>
    </w:p>
    <w:p w:rsidR="00576D74" w:rsidRDefault="002323F1" w:rsidP="005369EE">
      <w:pPr>
        <w:rPr>
          <w:lang w:val="en-US" w:eastAsia="en-US"/>
        </w:rPr>
      </w:pPr>
      <w:r>
        <w:rPr>
          <w:lang w:val="en-US" w:eastAsia="en-US"/>
        </w:rPr>
        <w:t>Since RMR 1900M is a TDD band, it could cause interference to both B3/n3 DL and B1/n1 UL, the interference should be carefully considered.</w:t>
      </w:r>
    </w:p>
    <w:p w:rsidR="002323F1" w:rsidRDefault="00E51B8B" w:rsidP="00E51B8B">
      <w:pPr>
        <w:pStyle w:val="Heading3"/>
        <w:rPr>
          <w:lang w:eastAsia="en-US"/>
        </w:rPr>
      </w:pPr>
      <w:r>
        <w:rPr>
          <w:lang w:eastAsia="en-US"/>
        </w:rPr>
        <w:lastRenderedPageBreak/>
        <w:t>BS aspects</w:t>
      </w:r>
    </w:p>
    <w:p w:rsidR="00E51B8B" w:rsidRDefault="00E51B8B" w:rsidP="00E51B8B">
      <w:pPr>
        <w:rPr>
          <w:lang w:val="en-US" w:eastAsia="en-US"/>
        </w:rPr>
      </w:pPr>
      <w:r>
        <w:rPr>
          <w:lang w:val="en-US" w:eastAsia="en-US"/>
        </w:rPr>
        <w:t xml:space="preserve">As the objective of the WI is aimed to non-AAS BS, only conductive based, i.e. 1-C requirements shall be defined in TS 38.104. </w:t>
      </w:r>
    </w:p>
    <w:p w:rsidR="00E51B8B" w:rsidRDefault="00B92C22" w:rsidP="00E51B8B">
      <w:pPr>
        <w:rPr>
          <w:lang w:val="en-US" w:eastAsia="en-US"/>
        </w:rPr>
      </w:pPr>
      <w:r>
        <w:rPr>
          <w:lang w:val="en-US" w:eastAsia="en-US"/>
        </w:rPr>
        <w:t xml:space="preserve">Besides system parameters, i.e. CBWs, SCS, raters, etc., protection of other operating bands as well as the clauses where the new NR band should be added, we see no other specific requirements should be considered for the RMR 1900MHz band. </w:t>
      </w:r>
    </w:p>
    <w:p w:rsidR="00BE072F" w:rsidRDefault="00BE072F" w:rsidP="00E51B8B">
      <w:pPr>
        <w:rPr>
          <w:lang w:val="en-US" w:eastAsia="en-US"/>
        </w:rPr>
      </w:pPr>
      <w:r>
        <w:rPr>
          <w:lang w:val="en-US" w:eastAsia="en-US"/>
        </w:rPr>
        <w:t>For the objective “</w:t>
      </w:r>
      <w:r>
        <w:rPr>
          <w:i/>
          <w:lang w:val="en-US" w:eastAsia="en-US"/>
        </w:rPr>
        <w:t>th</w:t>
      </w:r>
      <w:r w:rsidRPr="00BE072F">
        <w:rPr>
          <w:i/>
          <w:lang w:val="en-US" w:eastAsia="en-US"/>
        </w:rPr>
        <w:t>e Block-Edge-Mask (BEM) is developed on the basis that detailed coordination and cooperation agreements would not be required to be in place prior to network deployment”</w:t>
      </w:r>
      <w:r>
        <w:rPr>
          <w:i/>
          <w:lang w:val="en-US" w:eastAsia="en-US"/>
        </w:rPr>
        <w:t xml:space="preserve">, </w:t>
      </w:r>
      <w:r>
        <w:rPr>
          <w:lang w:val="en-US" w:eastAsia="en-US"/>
        </w:rPr>
        <w:t xml:space="preserve">as we know that BEM is not a requirement adopted in RAN4 specification, instead SEM or operating band unwanted emissions are used by RNA4. So our understanding is that there are no specific assumptions are presumed when to define the corresponding RMR band related requirements. Some clarification may be needed. </w:t>
      </w:r>
    </w:p>
    <w:p w:rsidR="00583691" w:rsidRDefault="00583691" w:rsidP="00E51B8B">
      <w:pPr>
        <w:rPr>
          <w:b/>
          <w:i/>
          <w:lang w:val="en-US" w:eastAsia="en-US"/>
        </w:rPr>
      </w:pPr>
      <w:r w:rsidRPr="00583691">
        <w:rPr>
          <w:b/>
          <w:i/>
          <w:lang w:val="en-US" w:eastAsia="en-US"/>
        </w:rPr>
        <w:t xml:space="preserve">Observation </w:t>
      </w:r>
      <w:r w:rsidR="00C51158">
        <w:rPr>
          <w:b/>
          <w:i/>
          <w:lang w:val="en-US" w:eastAsia="en-US"/>
        </w:rPr>
        <w:t>2</w:t>
      </w:r>
      <w:r w:rsidRPr="00583691">
        <w:rPr>
          <w:b/>
          <w:i/>
          <w:lang w:val="en-US" w:eastAsia="en-US"/>
        </w:rPr>
        <w:t xml:space="preserve">: </w:t>
      </w:r>
      <w:r>
        <w:rPr>
          <w:b/>
          <w:i/>
          <w:lang w:val="en-US" w:eastAsia="en-US"/>
        </w:rPr>
        <w:t xml:space="preserve">Requirement of BEM in the WID objective needs to be clarified. </w:t>
      </w:r>
    </w:p>
    <w:p w:rsidR="00E51B8B" w:rsidRPr="00E51B8B" w:rsidRDefault="00E51B8B" w:rsidP="00E51B8B">
      <w:pPr>
        <w:pStyle w:val="Heading3"/>
        <w:rPr>
          <w:lang w:eastAsia="en-US"/>
        </w:rPr>
      </w:pPr>
      <w:r>
        <w:rPr>
          <w:lang w:eastAsia="en-US"/>
        </w:rPr>
        <w:t>UE aspects</w:t>
      </w:r>
    </w:p>
    <w:p w:rsidR="00576D74" w:rsidRDefault="00BE072F" w:rsidP="005369EE">
      <w:pPr>
        <w:rPr>
          <w:lang w:val="en-US" w:eastAsia="en-US"/>
        </w:rPr>
      </w:pPr>
      <w:r>
        <w:rPr>
          <w:lang w:val="en-US" w:eastAsia="en-US"/>
        </w:rPr>
        <w:t xml:space="preserve">For UE side, system parameters and both </w:t>
      </w:r>
      <w:proofErr w:type="spellStart"/>
      <w:r>
        <w:rPr>
          <w:lang w:val="en-US" w:eastAsia="en-US"/>
        </w:rPr>
        <w:t>Tx</w:t>
      </w:r>
      <w:proofErr w:type="spellEnd"/>
      <w:r>
        <w:rPr>
          <w:lang w:val="en-US" w:eastAsia="en-US"/>
        </w:rPr>
        <w:t xml:space="preserve"> and Rx requirements should be defined for the RMR band. However, it is not clear from the WID whether some additional regional requirements need to be considered, which could be used to define some band specific requirements, e.g. A-MPR. </w:t>
      </w:r>
    </w:p>
    <w:p w:rsidR="00583691" w:rsidRPr="00583691" w:rsidRDefault="00C901F9" w:rsidP="00583691">
      <w:pPr>
        <w:rPr>
          <w:b/>
          <w:i/>
          <w:lang w:val="en-US" w:eastAsia="en-US"/>
        </w:rPr>
      </w:pPr>
      <w:r>
        <w:rPr>
          <w:b/>
          <w:i/>
          <w:lang w:val="en-US" w:eastAsia="en-US"/>
        </w:rPr>
        <w:t>Observation</w:t>
      </w:r>
      <w:r>
        <w:rPr>
          <w:rFonts w:hint="eastAsia"/>
        </w:rPr>
        <w:t xml:space="preserve"> </w:t>
      </w:r>
      <w:r w:rsidRPr="00C901F9">
        <w:rPr>
          <w:b/>
          <w:i/>
        </w:rPr>
        <w:t>3</w:t>
      </w:r>
      <w:r w:rsidR="00583691" w:rsidRPr="00583691">
        <w:rPr>
          <w:b/>
          <w:i/>
          <w:lang w:val="en-US" w:eastAsia="en-US"/>
        </w:rPr>
        <w:t xml:space="preserve">: </w:t>
      </w:r>
      <w:r w:rsidR="00583691">
        <w:rPr>
          <w:b/>
          <w:i/>
          <w:lang w:val="en-US" w:eastAsia="en-US"/>
        </w:rPr>
        <w:t xml:space="preserve">It’s not clear whether some regional regulatory requirements need to be considered </w:t>
      </w:r>
      <w:r>
        <w:rPr>
          <w:b/>
          <w:i/>
          <w:lang w:val="en-US" w:eastAsia="en-US"/>
        </w:rPr>
        <w:t>to define some UE band specific requirements</w:t>
      </w:r>
      <w:r w:rsidR="00583691">
        <w:rPr>
          <w:b/>
          <w:i/>
          <w:lang w:val="en-US" w:eastAsia="en-US"/>
        </w:rPr>
        <w:t xml:space="preserve">. </w:t>
      </w:r>
    </w:p>
    <w:p w:rsidR="00A33E8E" w:rsidRDefault="00A33E8E" w:rsidP="00A33E8E">
      <w:pPr>
        <w:pStyle w:val="Heading1"/>
        <w:spacing w:after="240"/>
        <w:rPr>
          <w:rFonts w:eastAsia="宋体"/>
          <w:lang w:eastAsia="zh-CN"/>
        </w:rPr>
      </w:pPr>
      <w:r>
        <w:rPr>
          <w:rFonts w:eastAsia="宋体" w:hint="eastAsia"/>
          <w:lang w:eastAsia="zh-CN"/>
        </w:rPr>
        <w:t>Conclusion</w:t>
      </w:r>
    </w:p>
    <w:p w:rsidR="00C51158" w:rsidRDefault="005369EE" w:rsidP="005369EE">
      <w:r>
        <w:t xml:space="preserve">This contribution provides </w:t>
      </w:r>
      <w:r w:rsidR="00C51158">
        <w:t>some consideration for RMR 1900MHz band.</w:t>
      </w:r>
    </w:p>
    <w:p w:rsidR="00C51158" w:rsidRDefault="00C51158" w:rsidP="00C51158">
      <w:pPr>
        <w:rPr>
          <w:b/>
          <w:i/>
          <w:lang w:val="en-US" w:eastAsia="en-US"/>
        </w:rPr>
      </w:pPr>
      <w:r w:rsidRPr="00583691">
        <w:rPr>
          <w:b/>
          <w:i/>
          <w:lang w:val="en-US" w:eastAsia="en-US"/>
        </w:rPr>
        <w:t xml:space="preserve">Observation </w:t>
      </w:r>
      <w:r>
        <w:rPr>
          <w:b/>
          <w:i/>
          <w:lang w:val="en-US" w:eastAsia="en-US"/>
        </w:rPr>
        <w:t>1</w:t>
      </w:r>
      <w:r w:rsidRPr="00583691">
        <w:rPr>
          <w:b/>
          <w:i/>
          <w:lang w:val="en-US" w:eastAsia="en-US"/>
        </w:rPr>
        <w:t>:</w:t>
      </w:r>
      <w:r>
        <w:rPr>
          <w:b/>
          <w:i/>
          <w:lang w:val="en-US" w:eastAsia="en-US"/>
        </w:rPr>
        <w:t xml:space="preserve"> Some description in the WID are deployment related, it should be clear that the newly introduced band shall not have impact to the incumbent deployed network. </w:t>
      </w:r>
    </w:p>
    <w:p w:rsidR="00C51158" w:rsidRDefault="00C51158" w:rsidP="00C51158">
      <w:pPr>
        <w:rPr>
          <w:b/>
          <w:i/>
          <w:lang w:val="en-US" w:eastAsia="en-US"/>
        </w:rPr>
      </w:pPr>
      <w:r w:rsidRPr="00583691">
        <w:rPr>
          <w:b/>
          <w:i/>
          <w:lang w:val="en-US" w:eastAsia="en-US"/>
        </w:rPr>
        <w:t xml:space="preserve">Observation </w:t>
      </w:r>
      <w:r>
        <w:rPr>
          <w:b/>
          <w:i/>
          <w:lang w:val="en-US" w:eastAsia="en-US"/>
        </w:rPr>
        <w:t>2</w:t>
      </w:r>
      <w:r w:rsidRPr="00583691">
        <w:rPr>
          <w:b/>
          <w:i/>
          <w:lang w:val="en-US" w:eastAsia="en-US"/>
        </w:rPr>
        <w:t xml:space="preserve">: </w:t>
      </w:r>
      <w:r>
        <w:rPr>
          <w:b/>
          <w:i/>
          <w:lang w:val="en-US" w:eastAsia="en-US"/>
        </w:rPr>
        <w:t xml:space="preserve">Requirement of BEM in the WID objective needs to be clarified. </w:t>
      </w:r>
    </w:p>
    <w:p w:rsidR="00C51158" w:rsidRPr="00583691" w:rsidRDefault="00C51158" w:rsidP="00C51158">
      <w:pPr>
        <w:rPr>
          <w:b/>
          <w:i/>
          <w:lang w:val="en-US" w:eastAsia="en-US"/>
        </w:rPr>
      </w:pPr>
      <w:r>
        <w:rPr>
          <w:b/>
          <w:i/>
          <w:lang w:val="en-US" w:eastAsia="en-US"/>
        </w:rPr>
        <w:t>Observation</w:t>
      </w:r>
      <w:r>
        <w:rPr>
          <w:rFonts w:hint="eastAsia"/>
        </w:rPr>
        <w:t xml:space="preserve"> </w:t>
      </w:r>
      <w:r w:rsidRPr="00C901F9">
        <w:rPr>
          <w:b/>
          <w:i/>
        </w:rPr>
        <w:t>3</w:t>
      </w:r>
      <w:r w:rsidRPr="00583691">
        <w:rPr>
          <w:b/>
          <w:i/>
          <w:lang w:val="en-US" w:eastAsia="en-US"/>
        </w:rPr>
        <w:t xml:space="preserve">: </w:t>
      </w:r>
      <w:r>
        <w:rPr>
          <w:b/>
          <w:i/>
          <w:lang w:val="en-US" w:eastAsia="en-US"/>
        </w:rPr>
        <w:t xml:space="preserve">It’s not clear whether some regional regulatory requirements need to be considered to define some UE band specific requirements. </w:t>
      </w:r>
    </w:p>
    <w:p w:rsidR="005369EE" w:rsidRDefault="005369EE" w:rsidP="005369EE">
      <w:pPr>
        <w:rPr>
          <w:b/>
          <w:i/>
          <w:lang w:val="en-US" w:eastAsia="en-US"/>
        </w:rPr>
      </w:pPr>
      <w:r w:rsidRPr="005369EE">
        <w:rPr>
          <w:b/>
          <w:i/>
          <w:lang w:val="en-US" w:eastAsia="en-US"/>
        </w:rPr>
        <w:t xml:space="preserve">Proposal 1: It is proposed to </w:t>
      </w:r>
      <w:r w:rsidR="00C51158">
        <w:rPr>
          <w:b/>
          <w:i/>
          <w:lang w:val="en-US" w:eastAsia="en-US"/>
        </w:rPr>
        <w:t>have some clarification of the WID objectives and make clear of the aspects to be studied in both BS and UE sides</w:t>
      </w:r>
      <w:r w:rsidRPr="005369EE">
        <w:rPr>
          <w:b/>
          <w:i/>
          <w:lang w:val="en-US" w:eastAsia="en-US"/>
        </w:rPr>
        <w:t>.</w:t>
      </w:r>
    </w:p>
    <w:p w:rsidR="00C51158" w:rsidRDefault="00C51158" w:rsidP="00C51158">
      <w:pPr>
        <w:rPr>
          <w:b/>
          <w:i/>
          <w:lang w:val="en-US" w:eastAsia="en-US"/>
        </w:rPr>
      </w:pPr>
      <w:r>
        <w:rPr>
          <w:b/>
          <w:i/>
          <w:lang w:val="en-US" w:eastAsia="en-US"/>
        </w:rPr>
        <w:t>Proposal 2</w:t>
      </w:r>
      <w:r w:rsidRPr="005369EE">
        <w:rPr>
          <w:b/>
          <w:i/>
          <w:lang w:val="en-US" w:eastAsia="en-US"/>
        </w:rPr>
        <w:t xml:space="preserve">: </w:t>
      </w:r>
      <w:r>
        <w:rPr>
          <w:b/>
          <w:i/>
          <w:lang w:val="en-US" w:eastAsia="en-US"/>
        </w:rPr>
        <w:t xml:space="preserve">Make clear that the </w:t>
      </w:r>
      <w:r w:rsidR="00062C1B">
        <w:rPr>
          <w:b/>
          <w:i/>
          <w:lang w:val="en-US" w:eastAsia="en-US"/>
        </w:rPr>
        <w:t>newly introduced RMR bands shall not have impact to the deployed network.</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67273C">
        <w:t>RP-210879,</w:t>
      </w:r>
      <w:r w:rsidR="0067273C" w:rsidRPr="005369EE">
        <w:t xml:space="preserve"> </w:t>
      </w:r>
      <w:r w:rsidR="0067273C" w:rsidRPr="00716384">
        <w:t xml:space="preserve">New WID on introduction of </w:t>
      </w:r>
      <w:r w:rsidR="0067273C">
        <w:t>1</w:t>
      </w:r>
      <w:r w:rsidR="0067273C" w:rsidRPr="00716384">
        <w:t>900 MHz spectrum to 5G NR applicable for Rail Mobile Radio</w:t>
      </w:r>
      <w:r w:rsidR="0067273C">
        <w:t>, UIC</w:t>
      </w:r>
    </w:p>
    <w:sectPr w:rsidR="00C5375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E17" w:rsidRDefault="009F1E17" w:rsidP="0052762B">
      <w:r>
        <w:separator/>
      </w:r>
    </w:p>
  </w:endnote>
  <w:endnote w:type="continuationSeparator" w:id="0">
    <w:p w:rsidR="009F1E17" w:rsidRDefault="009F1E1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E17" w:rsidRDefault="009F1E17" w:rsidP="0052762B">
      <w:r>
        <w:separator/>
      </w:r>
    </w:p>
  </w:footnote>
  <w:footnote w:type="continuationSeparator" w:id="0">
    <w:p w:rsidR="009F1E17" w:rsidRDefault="009F1E1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5"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7"/>
  </w:num>
  <w:num w:numId="4">
    <w:abstractNumId w:val="37"/>
  </w:num>
  <w:num w:numId="5">
    <w:abstractNumId w:val="1"/>
  </w:num>
  <w:num w:numId="6">
    <w:abstractNumId w:val="36"/>
  </w:num>
  <w:num w:numId="7">
    <w:abstractNumId w:val="18"/>
  </w:num>
  <w:num w:numId="8">
    <w:abstractNumId w:val="30"/>
  </w:num>
  <w:num w:numId="9">
    <w:abstractNumId w:val="39"/>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6"/>
  </w:num>
  <w:num w:numId="20">
    <w:abstractNumId w:val="24"/>
  </w:num>
  <w:num w:numId="21">
    <w:abstractNumId w:val="15"/>
  </w:num>
  <w:num w:numId="22">
    <w:abstractNumId w:val="6"/>
  </w:num>
  <w:num w:numId="23">
    <w:abstractNumId w:val="23"/>
  </w:num>
  <w:num w:numId="24">
    <w:abstractNumId w:val="35"/>
  </w:num>
  <w:num w:numId="25">
    <w:abstractNumId w:val="9"/>
  </w:num>
  <w:num w:numId="26">
    <w:abstractNumId w:val="34"/>
  </w:num>
  <w:num w:numId="27">
    <w:abstractNumId w:val="33"/>
  </w:num>
  <w:num w:numId="28">
    <w:abstractNumId w:val="19"/>
  </w:num>
  <w:num w:numId="29">
    <w:abstractNumId w:val="38"/>
  </w:num>
  <w:num w:numId="30">
    <w:abstractNumId w:val="28"/>
  </w:num>
  <w:num w:numId="31">
    <w:abstractNumId w:val="17"/>
  </w:num>
  <w:num w:numId="32">
    <w:abstractNumId w:val="31"/>
  </w:num>
  <w:num w:numId="33">
    <w:abstractNumId w:val="7"/>
  </w:num>
  <w:num w:numId="34">
    <w:abstractNumId w:val="10"/>
  </w:num>
  <w:num w:numId="35">
    <w:abstractNumId w:val="32"/>
  </w:num>
  <w:num w:numId="36">
    <w:abstractNumId w:val="20"/>
  </w:num>
  <w:num w:numId="37">
    <w:abstractNumId w:val="8"/>
  </w:num>
  <w:num w:numId="38">
    <w:abstractNumId w:val="29"/>
  </w:num>
  <w:num w:numId="39">
    <w:abstractNumId w:val="4"/>
  </w:num>
  <w:num w:numId="40">
    <w:abstractNumId w:val="25"/>
  </w:num>
  <w:num w:numId="41">
    <w:abstractNumId w:val="16"/>
  </w:num>
  <w:num w:numId="42">
    <w:abstractNumId w:val="14"/>
  </w:num>
  <w:num w:numId="4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C1B"/>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1"/>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B9B"/>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3F1"/>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B31"/>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882"/>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3C28"/>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37EC6"/>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6D74"/>
    <w:rsid w:val="00577557"/>
    <w:rsid w:val="0057763B"/>
    <w:rsid w:val="005779C1"/>
    <w:rsid w:val="00577D10"/>
    <w:rsid w:val="0058033C"/>
    <w:rsid w:val="00581A68"/>
    <w:rsid w:val="00581B00"/>
    <w:rsid w:val="00582724"/>
    <w:rsid w:val="00582B32"/>
    <w:rsid w:val="005830AB"/>
    <w:rsid w:val="005830F2"/>
    <w:rsid w:val="0058321C"/>
    <w:rsid w:val="00583691"/>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6CE8"/>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73C"/>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2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E17"/>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1A9"/>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2C22"/>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2F"/>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19AB"/>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035"/>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995"/>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158"/>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1F9"/>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B8B"/>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64DA1-82FF-4D0A-AD1A-125E782CA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194</TotalTime>
  <Pages>2</Pages>
  <Words>614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4109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9</cp:revision>
  <cp:lastPrinted>2010-01-07T02:23:00Z</cp:lastPrinted>
  <dcterms:created xsi:type="dcterms:W3CDTF">2021-04-02T02:24:00Z</dcterms:created>
  <dcterms:modified xsi:type="dcterms:W3CDTF">2021-04-02T20:35:00Z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(3)S+prx4Ao2V7JmSXfbnIaG7oGfX6TVVaZyKM+bY6L/20YyD+z1wPtrxfBuYHD/Xp4jAP1IzK2
L6YQMjoitdw/yodxptYf9R/tbkEGomnO3V0AeP5S5y3KkRJfepA4zRQCVEHBBX0Q3pXqj4i3
TBqodojmMGax2ncrFbmbvCO5ttbpkS6LH1o/wX0sk6BLaYpeEev8sw5rOF/tqY/yrn6QIdhD
FmOvdetDAf+Q3xTR2p</vt:lpwstr>
  </property>
  <property fmtid="{D5CDD505-2E9C-101B-9397-08002B2CF9AE}" pid="15" name="_2015_ms_pID_725343_00">
    <vt:lpwstr>_2015_ms_pID_725343</vt:lpwstr>
  </property>
  <property fmtid="{D5CDD505-2E9C-101B-9397-08002B2CF9AE}" pid="16" name="_2015_ms_pID_7253431">
    <vt:lpwstr>8K+kx1upKEn0ZU8Bsig+pSQUT9j1cO+UmSNvQ18XjesNNVYyqL/et7
SRIUBifHvaNXEJiGVEfh8sBsqfJwi0JXiEMXHCA3B5pyKtQFDe+EXh004HPIQvBZmTq9vUYt
uxiiDFl6v/3qpl+FBOI7RtzeyTRUWX3iI8HhwY+8tqTm3b0Spi7UOq6zwKRlQ8hqJfUzL7Wx
mPwclbKPPau/+nCu3oodOhmcpGdNojiU867y</vt:lpwstr>
  </property>
  <property fmtid="{D5CDD505-2E9C-101B-9397-08002B2CF9AE}" pid="17" name="_2015_ms_pID_7253431_00">
    <vt:lpwstr>_2015_ms_pID_7253431</vt:lpwstr>
  </property>
  <property fmtid="{D5CDD505-2E9C-101B-9397-08002B2CF9AE}" pid="18" name="_2015_ms_pID_7253432">
    <vt:lpwstr>U+ikjRfj279cTmwLXGHhUD0=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